
<file path=[Content_Types].xml><?xml version="1.0" encoding="utf-8"?>
<Types xmlns="http://schemas.openxmlformats.org/package/2006/content-types">
  <Default Extension="xlsx" ContentType="application/vnd.openxmlformats-officedocument.spreadsheetml.sheet"/>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charts/colors1.xml" ContentType="application/vnd.ms-office.chartcolorstyle+xml"/>
  <Override PartName="/word/fontTable.xml" ContentType="application/vnd.openxmlformats-officedocument.wordprocessingml.fontTable+xml"/>
  <Override PartName="/docProps/core.xml" ContentType="application/vnd.openxmlformats-package.core-properties+xml"/>
  <Override PartName="/word/charts/chart1.xml" ContentType="application/vnd.openxmlformats-officedocument.drawingml.chart+xml"/>
  <Override PartName="/word/header1.xml" ContentType="application/vnd.openxmlformats-officedocument.wordprocessingml.header+xml"/>
  <Override PartName="/word/numbering.xml" ContentType="application/vnd.openxmlformats-officedocument.wordprocessingml.numbering+xml"/>
  <Override PartName="/word/charts/style2.xml" ContentType="application/vnd.ms-office.chartstyle+xml"/>
  <Override PartName="/word/settings.xml" ContentType="application/vnd.openxmlformats-officedocument.wordprocessingml.settings+xml"/>
  <Override PartName="/docProps/custom.xml" ContentType="application/vnd.openxmlformats-officedocument.custom-properties+xml"/>
  <Override PartName="/word/charts/colors2.xml" ContentType="application/vnd.ms-office.chartcolorstyle+xml"/>
  <Override PartName="/word/document.xml" ContentType="application/vnd.openxmlformats-officedocument.wordprocessingml.document.main+xml"/>
  <Override PartName="/word/charts/chart2.xml" ContentType="application/vnd.openxmlformats-officedocument.drawingml.chart+xml"/>
  <Override PartName="/word/charts/style1.xml" ContentType="application/vnd.ms-office.chartsty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b/>
          <w:bCs/>
          <w:sz w:val="28"/>
          <w:szCs w:val="28"/>
        </w:rPr>
      </w:pPr>
      <w:r>
        <w:rPr>
          <w:rFonts w:ascii="Times New Roman" w:cs="Times New Roman" w:hAnsi="Times New Roman"/>
          <w:b/>
          <w:bCs/>
          <w:sz w:val="28"/>
          <w:szCs w:val="28"/>
        </w:rPr>
        <w:t>Lactate Dehydrogenase Enzyme Kinetics</w:t>
      </w:r>
    </w:p>
    <w:p>
      <w:pPr>
        <w:pStyle w:val="style0"/>
        <w:spacing w:lineRule="auto" w:line="480"/>
        <w:jc w:val="center"/>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w:t>
      </w:r>
      <w:r>
        <w:rPr>
          <w:rFonts w:ascii="Times New Roman" w:cs="Times New Roman" w:hAnsi="Times New Roman"/>
          <w:sz w:val="24"/>
          <w:szCs w:val="24"/>
        </w:rPr>
        <w:t>ame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 xml:space="preserve">University </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 xml:space="preserve">Lactate Dehydrogenase enzyme kinetics </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Use of </w:t>
      </w:r>
      <w:r>
        <w:rPr>
          <w:rFonts w:ascii="Times New Roman" w:cs="Times New Roman" w:hAnsi="Times New Roman"/>
          <w:sz w:val="24"/>
          <w:szCs w:val="24"/>
        </w:rPr>
        <w:tab/>
      </w:r>
      <w:r>
        <w:rPr>
          <w:rFonts w:ascii="Times New Roman" w:cs="Times New Roman" w:hAnsi="Times New Roman"/>
          <w:sz w:val="24"/>
          <w:szCs w:val="24"/>
        </w:rPr>
        <w:t>Michaelis-Menten and Lineweaver-Burk plot to determine the enzyme kinetics of the lactate dehydrogenase enzyme.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Lactate dehydrogenase (LDH) is a key enzyme used in anaerobic metabolic processes and is an oxidoreductase member.</w:t>
      </w:r>
      <w:r>
        <w:rPr>
          <w:rFonts w:ascii="Times New Roman" w:cs="Times New Roman" w:hAnsi="Times New Roman"/>
          <w:sz w:val="24"/>
          <w:szCs w:val="24"/>
        </w:rPr>
        <w:t xml:space="preserve"> According to (</w:t>
      </w:r>
      <w:r>
        <w:rPr>
          <w:rFonts w:ascii="Times New Roman" w:cs="Times New Roman" w:hAnsi="Times New Roman"/>
          <w:color w:val="222222"/>
          <w:sz w:val="24"/>
          <w:szCs w:val="24"/>
          <w:shd w:val="clear" w:color="auto" w:fill="ffffff"/>
        </w:rPr>
        <w:t>Farhana, 2020), t</w:t>
      </w:r>
      <w:r>
        <w:rPr>
          <w:rFonts w:ascii="Times New Roman" w:cs="Times New Roman" w:hAnsi="Times New Roman"/>
          <w:sz w:val="24"/>
          <w:szCs w:val="24"/>
        </w:rPr>
        <w:t>he enzyme functions by catalyzing the conversion of lactate to pyruvate and back with the simultaneous conversion of NADH to NAD+ and back.</w:t>
      </w:r>
      <w:r>
        <w:rPr>
          <w:rFonts w:ascii="Times New Roman" w:cs="Times New Roman" w:hAnsi="Times New Roman"/>
          <w:sz w:val="24"/>
          <w:szCs w:val="24"/>
        </w:rPr>
        <w:t xml:space="preserve"> There is a transfer of hydride from NADH in the forward reaction or addition to NAD+ in the reverse reaction.</w:t>
      </w:r>
      <w:r>
        <w:rPr>
          <w:rFonts w:ascii="Times New Roman" w:cs="Times New Roman" w:hAnsi="Times New Roman"/>
          <w:sz w:val="24"/>
          <w:szCs w:val="24"/>
        </w:rPr>
        <w:t xml:space="preserve"> LDH is found in a vast number of organisms, both plants, and animals, and is usually present in almost all the tissues and the cells of the body, serving as a marker for DNA metabolism and gluconeogenesis. Due to its ubiquitous presence in the cells and tissues, the amounts of this enzyme usually increase when tissues are injured, like in</w:t>
      </w:r>
      <w:r>
        <w:rPr>
          <w:rFonts w:ascii="Times New Roman" w:cs="Times New Roman" w:hAnsi="Times New Roman"/>
          <w:sz w:val="24"/>
          <w:szCs w:val="24"/>
        </w:rPr>
        <w:t xml:space="preserve"> heart attack, muscle traumas, </w:t>
      </w:r>
      <w:r>
        <w:rPr>
          <w:rFonts w:ascii="Times New Roman" w:cs="Times New Roman" w:hAnsi="Times New Roman"/>
          <w:sz w:val="24"/>
          <w:szCs w:val="24"/>
        </w:rPr>
        <w:t xml:space="preserve">liver </w:t>
      </w:r>
      <w:r>
        <w:rPr>
          <w:rFonts w:ascii="Times New Roman" w:cs="Times New Roman" w:hAnsi="Times New Roman"/>
          <w:sz w:val="24"/>
          <w:szCs w:val="24"/>
        </w:rPr>
        <w:t>damage</w:t>
      </w:r>
      <w:r>
        <w:rPr>
          <w:rFonts w:ascii="Times New Roman" w:cs="Times New Roman" w:hAnsi="Times New Roman"/>
          <w:sz w:val="24"/>
          <w:szCs w:val="24"/>
        </w:rPr>
        <w:t xml:space="preserve">, anemia, and </w:t>
      </w:r>
      <w:r>
        <w:rPr>
          <w:rFonts w:ascii="Times New Roman" w:cs="Times New Roman" w:hAnsi="Times New Roman"/>
          <w:sz w:val="24"/>
          <w:szCs w:val="24"/>
        </w:rPr>
        <w:t>fractures.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480"/>
        <w:ind w:left="2160"/>
        <w:contextualSpacing/>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2095500" cy="800100"/>
            <wp:effectExtent l="19050" t="0" r="0" b="0"/>
            <wp:docPr id="1026" name="Picture 1" descr="https://upload.wikimedia.org/wikipedia/commons/thumb/9/9f/Reaction_catalyzed_by_lactate_dehydrogenase.png/220px-Reaction_catalyzed_by_lactate_dehydrogenase.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2095500" cy="800100"/>
                    </a:xfrm>
                    <a:prstGeom prst="rect"/>
                    <a:ln>
                      <a:noFill/>
                    </a:ln>
                  </pic:spPr>
                </pic:pic>
              </a:graphicData>
            </a:graphic>
          </wp:inline>
        </w:drawing>
      </w:r>
    </w:p>
    <w:p>
      <w:pPr>
        <w:pStyle w:val="style0"/>
        <w:shd w:val="clear" w:color="auto" w:fill="ffffff"/>
        <w:spacing w:before="100" w:beforeAutospacing="true" w:after="24" w:lineRule="auto" w:line="480"/>
        <w:ind w:firstLine="720"/>
        <w:contextualSpacing/>
        <w:rPr>
          <w:rFonts w:ascii="Times New Roman" w:cs="Times New Roman" w:eastAsia="Times New Roman" w:hAnsi="Times New Roman"/>
          <w:color w:val="000000"/>
          <w:sz w:val="24"/>
          <w:szCs w:val="24"/>
        </w:rPr>
      </w:pPr>
      <w:r>
        <w:rPr>
          <w:rFonts w:ascii="Times New Roman" w:cs="Times New Roman" w:hAnsi="Times New Roman"/>
          <w:sz w:val="24"/>
          <w:szCs w:val="24"/>
        </w:rPr>
        <w:t xml:space="preserve">LDH is a tetramer that is made up of four subunits, with two of </w:t>
      </w:r>
      <w:r>
        <w:rPr>
          <w:rFonts w:ascii="Times New Roman" w:cs="Times New Roman" w:hAnsi="Times New Roman"/>
          <w:sz w:val="24"/>
          <w:szCs w:val="24"/>
        </w:rPr>
        <w:t>these subunits</w:t>
      </w:r>
      <w:r>
        <w:rPr>
          <w:rFonts w:ascii="Times New Roman" w:cs="Times New Roman" w:hAnsi="Times New Roman"/>
          <w:sz w:val="24"/>
          <w:szCs w:val="24"/>
        </w:rPr>
        <w:t xml:space="preserve"> being the most common, which are LDH-M and LDH-H</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Farhana, 2020)</w:t>
      </w:r>
      <w:r>
        <w:rPr>
          <w:rFonts w:ascii="Times New Roman" w:cs="Times New Roman" w:hAnsi="Times New Roman"/>
          <w:sz w:val="24"/>
          <w:szCs w:val="24"/>
        </w:rPr>
        <w:t xml:space="preserve">. The genes that encode the two subunits are </w:t>
      </w:r>
      <w:r>
        <w:rPr>
          <w:rFonts w:ascii="Times New Roman" w:cs="Times New Roman" w:hAnsi="Times New Roman"/>
          <w:i/>
          <w:sz w:val="24"/>
          <w:szCs w:val="24"/>
        </w:rPr>
        <w:t>LDHA</w:t>
      </w:r>
      <w:r>
        <w:rPr>
          <w:rFonts w:ascii="Times New Roman" w:cs="Times New Roman" w:hAnsi="Times New Roman"/>
          <w:sz w:val="24"/>
          <w:szCs w:val="24"/>
        </w:rPr>
        <w:t xml:space="preserve"> and </w:t>
      </w:r>
      <w:r>
        <w:rPr>
          <w:rFonts w:ascii="Times New Roman" w:cs="Times New Roman" w:hAnsi="Times New Roman"/>
          <w:i/>
          <w:sz w:val="24"/>
          <w:szCs w:val="24"/>
        </w:rPr>
        <w:t>LDHB</w:t>
      </w:r>
      <w:r>
        <w:rPr>
          <w:rFonts w:ascii="Times New Roman" w:cs="Times New Roman" w:hAnsi="Times New Roman"/>
          <w:sz w:val="24"/>
          <w:szCs w:val="24"/>
        </w:rPr>
        <w:t xml:space="preserve">, respectively. LDH-M and LDH-H subunits usually mix in different combinations to produce five isoenzymes of the LDH: </w:t>
      </w:r>
      <w:r>
        <w:rPr>
          <w:rFonts w:ascii="Times New Roman" w:cs="Times New Roman" w:hAnsi="Times New Roman"/>
          <w:color w:val="202122"/>
          <w:sz w:val="24"/>
          <w:szCs w:val="24"/>
          <w:shd w:val="clear" w:color="auto" w:fill="ffffff"/>
        </w:rPr>
        <w:t xml:space="preserve">4H, 4M, and the three mixed tetramers (3H1M, 2H2 1H3M). </w:t>
      </w:r>
      <w:r>
        <w:rPr>
          <w:rFonts w:ascii="Times New Roman" w:cs="Times New Roman" w:hAnsi="Times New Roman"/>
          <w:sz w:val="24"/>
          <w:szCs w:val="24"/>
        </w:rPr>
        <w:t xml:space="preserve"> The isoenzymes are structurally similar but are distributed in different tissues. For instance, there is a more significant proportion of</w:t>
      </w:r>
      <w:r>
        <w:rPr>
          <w:rFonts w:ascii="Times New Roman" w:cs="Times New Roman" w:hAnsi="Times New Roman"/>
          <w:sz w:val="24"/>
          <w:szCs w:val="24"/>
        </w:rPr>
        <w:t xml:space="preserve"> LDH-5</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M</w:t>
      </w:r>
      <w:r>
        <w:rPr>
          <w:rFonts w:ascii="Times New Roman" w:cs="Times New Roman" w:hAnsi="Times New Roman"/>
          <w:sz w:val="24"/>
          <w:szCs w:val="24"/>
          <w:vertAlign w:val="subscript"/>
        </w:rPr>
        <w:t>4</w:t>
      </w:r>
      <w:r>
        <w:rPr>
          <w:rFonts w:ascii="Times New Roman" w:cs="Times New Roman" w:hAnsi="Times New Roman"/>
          <w:sz w:val="24"/>
          <w:szCs w:val="24"/>
        </w:rPr>
        <w:t>)</w:t>
      </w:r>
      <w:r>
        <w:rPr>
          <w:rFonts w:ascii="Times New Roman" w:cs="Times New Roman" w:hAnsi="Times New Roman"/>
          <w:sz w:val="24"/>
          <w:szCs w:val="24"/>
          <w:vertAlign w:val="subscript"/>
        </w:rPr>
        <w:t xml:space="preserve"> </w:t>
      </w:r>
      <w:r>
        <w:rPr>
          <w:rFonts w:ascii="Times New Roman" w:cs="Times New Roman" w:hAnsi="Times New Roman"/>
          <w:sz w:val="24"/>
          <w:szCs w:val="24"/>
        </w:rPr>
        <w:t>in the skeletal muscle and liver, while the heart majorly has</w:t>
      </w:r>
      <w:r>
        <w:rPr>
          <w:rFonts w:ascii="Times New Roman" w:cs="Times New Roman" w:hAnsi="Times New Roman"/>
          <w:sz w:val="24"/>
          <w:szCs w:val="24"/>
        </w:rPr>
        <w:t xml:space="preserve"> LDH-1</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H</w:t>
      </w:r>
      <w:r>
        <w:rPr>
          <w:rFonts w:ascii="Times New Roman" w:cs="Times New Roman" w:hAnsi="Times New Roman"/>
          <w:sz w:val="24"/>
          <w:szCs w:val="24"/>
          <w:vertAlign w:val="subscript"/>
        </w:rPr>
        <w:t>4</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xml:space="preserve"> The other isoforms are </w:t>
      </w:r>
      <w:r>
        <w:rPr>
          <w:rFonts w:ascii="Times New Roman" w:cs="Times New Roman" w:hAnsi="Times New Roman"/>
          <w:sz w:val="24"/>
          <w:szCs w:val="24"/>
        </w:rPr>
        <w:t xml:space="preserve">distributed as follows: </w:t>
      </w:r>
      <w:r>
        <w:rPr>
          <w:rFonts w:ascii="Times New Roman" w:cs="Times New Roman" w:eastAsia="Times New Roman" w:hAnsi="Times New Roman"/>
          <w:color w:val="202122"/>
          <w:sz w:val="24"/>
          <w:szCs w:val="24"/>
        </w:rPr>
        <w:t>LDH-2 (3H1M</w:t>
      </w:r>
      <w:r>
        <w:rPr>
          <w:rFonts w:ascii="Times New Roman" w:cs="Times New Roman" w:eastAsia="Times New Roman" w:hAnsi="Times New Roman"/>
          <w:color w:val="202122"/>
          <w:sz w:val="24"/>
          <w:szCs w:val="24"/>
        </w:rPr>
        <w:t xml:space="preserve"> in the reticuloendothelial system</w:t>
      </w:r>
      <w:r>
        <w:rPr>
          <w:rFonts w:ascii="Times New Roman" w:cs="Times New Roman" w:eastAsia="Times New Roman" w:hAnsi="Times New Roman"/>
          <w:color w:val="000000"/>
          <w:sz w:val="24"/>
          <w:szCs w:val="24"/>
        </w:rPr>
        <w:t>, LDH-3 (2H2M, i</w:t>
      </w:r>
      <w:r>
        <w:rPr>
          <w:rFonts w:ascii="Times New Roman" w:cs="Times New Roman" w:eastAsia="Times New Roman" w:hAnsi="Times New Roman"/>
          <w:color w:val="000000"/>
          <w:sz w:val="24"/>
          <w:szCs w:val="24"/>
        </w:rPr>
        <w:t>n lungs</w:t>
      </w:r>
      <w:r>
        <w:rPr>
          <w:rFonts w:ascii="Times New Roman" w:cs="Times New Roman" w:eastAsia="Times New Roman" w:hAnsi="Times New Roman"/>
          <w:color w:val="000000"/>
          <w:sz w:val="24"/>
          <w:szCs w:val="24"/>
        </w:rPr>
        <w:t xml:space="preserve">, and LDH-4 (1H3M) in the </w:t>
      </w:r>
      <w:r>
        <w:rPr/>
        <w:fldChar w:fldCharType="begin"/>
      </w:r>
      <w:r>
        <w:instrText xml:space="preserve"> HYPERLINK "https://en.wikipedia.org/wiki/Kidney" \o "Kidney" </w:instrText>
      </w:r>
      <w:r>
        <w:rPr/>
        <w:fldChar w:fldCharType="separate"/>
      </w:r>
      <w:r>
        <w:rPr>
          <w:rFonts w:ascii="Times New Roman" w:cs="Times New Roman" w:eastAsia="Times New Roman" w:hAnsi="Times New Roman"/>
          <w:color w:val="000000"/>
          <w:sz w:val="24"/>
          <w:szCs w:val="24"/>
        </w:rPr>
        <w:t>kidneys</w:t>
      </w:r>
      <w:r>
        <w:rPr/>
        <w:fldChar w:fldCharType="end"/>
      </w:r>
      <w:r>
        <w:rPr>
          <w:rFonts w:ascii="Times New Roman" w:cs="Times New Roman" w:eastAsia="Times New Roman" w:hAnsi="Times New Roman"/>
          <w:color w:val="000000"/>
          <w:sz w:val="24"/>
          <w:szCs w:val="24"/>
        </w:rPr>
        <w:t xml:space="preserve"> and pancreas.</w:t>
      </w:r>
    </w:p>
    <w:p>
      <w:pPr>
        <w:pStyle w:val="style0"/>
        <w:shd w:val="clear" w:color="auto" w:fill="ffffff"/>
        <w:spacing w:before="100" w:beforeAutospacing="true" w:after="24" w:lineRule="auto" w:line="480"/>
        <w:ind w:firstLine="720"/>
        <w:contextualSpacing/>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The difference in the metabolic rates of different tissues is the primary reason for the uneven distribution of the isoforms showing the ratio in the </w:t>
      </w:r>
      <w:r>
        <w:rPr>
          <w:rFonts w:ascii="Times New Roman" w:cs="Times New Roman" w:hAnsi="Times New Roman"/>
          <w:color w:val="000000"/>
          <w:sz w:val="24"/>
          <w:szCs w:val="24"/>
          <w:shd w:val="clear" w:color="auto" w:fill="ffffff"/>
        </w:rPr>
        <w:t>LDHA: LDHB</w:t>
      </w:r>
      <w:r>
        <w:rPr>
          <w:rFonts w:ascii="Times New Roman" w:cs="Times New Roman" w:hAnsi="Times New Roman"/>
          <w:color w:val="000000"/>
          <w:sz w:val="24"/>
          <w:szCs w:val="24"/>
          <w:shd w:val="clear" w:color="auto" w:fill="ffffff"/>
        </w:rPr>
        <w:t xml:space="preserve"> genes in them. LDH is used by tissues to metabolize glucose in hypoxic states. During anaerobic metabolism, there is a disruption of ATP production by oxidative phosphorylation, leading to alternative metabolic pathways</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222222"/>
          <w:sz w:val="24"/>
          <w:szCs w:val="24"/>
          <w:shd w:val="clear" w:color="auto" w:fill="ffffff"/>
        </w:rPr>
        <w:t>Chovanová, 2020)</w:t>
      </w:r>
      <w:r>
        <w:rPr>
          <w:rFonts w:ascii="Times New Roman" w:cs="Times New Roman" w:hAnsi="Times New Roman"/>
          <w:color w:val="000000"/>
          <w:sz w:val="24"/>
          <w:szCs w:val="24"/>
          <w:shd w:val="clear" w:color="auto" w:fill="ffffff"/>
        </w:rPr>
        <w:t xml:space="preserve">. As a result, LDH becomes upregulated to compensate the energy production. </w:t>
      </w:r>
      <w:r>
        <w:rPr>
          <w:rFonts w:ascii="Times New Roman" w:cs="Times New Roman" w:hAnsi="Times New Roman"/>
          <w:sz w:val="24"/>
          <w:szCs w:val="24"/>
        </w:rPr>
        <w:t>In anaerobic glycolysis, the enzyme prevents pyruvate buildup b</w:t>
      </w:r>
      <w:r>
        <w:rPr>
          <w:rFonts w:ascii="Times New Roman" w:cs="Times New Roman" w:hAnsi="Times New Roman"/>
          <w:sz w:val="24"/>
          <w:szCs w:val="24"/>
        </w:rPr>
        <w:t xml:space="preserve">y converting lactate and </w:t>
      </w:r>
      <w:r>
        <w:rPr>
          <w:rFonts w:ascii="Times New Roman" w:cs="Times New Roman" w:hAnsi="Times New Roman"/>
          <w:sz w:val="24"/>
          <w:szCs w:val="24"/>
        </w:rPr>
        <w:t>regenerating NAD+ to continue substrate-level ATP production</w:t>
      </w:r>
      <w:r>
        <w:rPr>
          <w:rFonts w:ascii="Times New Roman" w:cs="Times New Roman" w:hAnsi="Times New Roman"/>
          <w:sz w:val="24"/>
          <w:szCs w:val="24"/>
        </w:rPr>
        <w:t>. LDH function is subject to substrate inhibition and feedback inhibition.</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Background information on enzyme kinetics</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Enzymes are catalysts that accelerate the rate of biochemical reactions in a biological system. They are proteins with high molecular weight and act on substrate molecules to produce the product. Each enzyme exhibits substrate specificity and selectivity such that one enzyme can catalyze the breakdown of only particular reagents and not others</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w:t>
      </w:r>
      <w:r>
        <w:rPr>
          <w:rFonts w:ascii="Times New Roman" w:cs="Times New Roman" w:hAnsi="Times New Roman"/>
          <w:color w:val="222222"/>
          <w:sz w:val="24"/>
          <w:szCs w:val="24"/>
          <w:shd w:val="clear" w:color="auto" w:fill="ffffff"/>
        </w:rPr>
        <w:t>Chovanová, 2020)</w:t>
      </w:r>
      <w:r>
        <w:rPr>
          <w:rFonts w:ascii="Times New Roman" w:cs="Times New Roman" w:hAnsi="Times New Roman"/>
          <w:sz w:val="24"/>
          <w:szCs w:val="24"/>
        </w:rPr>
        <w:t>. Since they are catalysts, enzymes are never used up in the biochemical reaction. The enzyme kinetics can be determined using the Michaelis-Menten equation. Most enzymatic reactions rely on the principal mechanism of forming an intermediate enzyme-</w:t>
      </w:r>
      <w:r>
        <w:rPr>
          <w:rFonts w:ascii="Times New Roman" w:cs="Times New Roman" w:hAnsi="Times New Roman"/>
          <w:sz w:val="24"/>
          <w:szCs w:val="24"/>
        </w:rPr>
        <w:t>substrate, ES,</w:t>
      </w:r>
      <w:r>
        <w:rPr>
          <w:rFonts w:ascii="Times New Roman" w:cs="Times New Roman" w:hAnsi="Times New Roman"/>
          <w:sz w:val="24"/>
          <w:szCs w:val="24"/>
        </w:rPr>
        <w:t xml:space="preserve"> a complex that decomposes to release the final product and the enzyme for another reaction. </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Cambria Math" w:cs="Cambria Math" w:hAnsi="Cambria Math"/>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Cambria Math" w:cs="Cambria Math" w:hAnsi="Cambria Math"/>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p>
    <w:p>
      <w:pPr>
        <w:pStyle w:val="style0"/>
        <w:spacing w:lineRule="auto" w:line="480"/>
        <w:ind w:firstLine="72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At each instance, there are rate constants for the forward and the reverse reactions labeled as k</w:t>
      </w:r>
      <w:r>
        <w:rPr>
          <w:rStyle w:val="style4098"/>
          <w:rFonts w:ascii="Times New Roman" w:cs="Times New Roman" w:hAnsi="Times New Roman"/>
          <w:color w:val="000000"/>
          <w:sz w:val="24"/>
          <w:szCs w:val="24"/>
          <w:bdr w:val="none" w:sz="0" w:space="0" w:color="auto" w:frame="true"/>
          <w:shd w:val="clear" w:color="auto" w:fill="ffffff"/>
          <w:vertAlign w:val="subscript"/>
        </w:rPr>
        <w:t xml:space="preserve">1, </w:t>
      </w:r>
      <w:r>
        <w:rPr>
          <w:rStyle w:val="style4098"/>
          <w:rFonts w:ascii="Times New Roman" w:cs="Times New Roman" w:hAnsi="Times New Roman"/>
          <w:color w:val="000000"/>
          <w:sz w:val="24"/>
          <w:szCs w:val="24"/>
          <w:bdr w:val="none" w:sz="0" w:space="0" w:color="auto" w:frame="true"/>
          <w:shd w:val="clear" w:color="auto" w:fill="ffffff"/>
        </w:rPr>
        <w:t>k</w:t>
      </w:r>
      <w:r>
        <w:rPr>
          <w:rStyle w:val="style4098"/>
          <w:rFonts w:ascii="Times New Roman" w:cs="Times New Roman" w:hAnsi="Times New Roman"/>
          <w:color w:val="000000"/>
          <w:sz w:val="24"/>
          <w:szCs w:val="24"/>
          <w:bdr w:val="none" w:sz="0" w:space="0" w:color="auto" w:frame="true"/>
          <w:shd w:val="clear" w:color="auto" w:fill="ffffff"/>
          <w:vertAlign w:val="subscript"/>
        </w:rPr>
        <w:t>-1</w:t>
      </w:r>
      <w:r>
        <w:rPr>
          <w:rStyle w:val="style4098"/>
          <w:rFonts w:ascii="Times New Roman" w:cs="Times New Roman" w:hAnsi="Times New Roman"/>
          <w:color w:val="000000"/>
          <w:sz w:val="24"/>
          <w:szCs w:val="24"/>
          <w:bdr w:val="none" w:sz="0" w:space="0" w:color="auto" w:frame="true"/>
          <w:shd w:val="clear" w:color="auto" w:fill="ffffff"/>
        </w:rPr>
        <w:t>, k</w:t>
      </w:r>
      <w:r>
        <w:rPr>
          <w:rStyle w:val="style4098"/>
          <w:rFonts w:ascii="Times New Roman" w:cs="Times New Roman" w:hAnsi="Times New Roman"/>
          <w:color w:val="000000"/>
          <w:sz w:val="24"/>
          <w:szCs w:val="24"/>
          <w:bdr w:val="none" w:sz="0" w:space="0" w:color="auto" w:frame="true"/>
          <w:shd w:val="clear" w:color="auto" w:fill="ffffff"/>
          <w:vertAlign w:val="subscript"/>
        </w:rPr>
        <w:t>2</w:t>
      </w:r>
      <w:r>
        <w:rPr>
          <w:rStyle w:val="style4098"/>
          <w:rFonts w:ascii="Times New Roman" w:cs="Times New Roman" w:hAnsi="Times New Roman"/>
          <w:color w:val="000000"/>
          <w:sz w:val="24"/>
          <w:szCs w:val="24"/>
          <w:bdr w:val="none" w:sz="0" w:space="0" w:color="auto" w:frame="true"/>
          <w:shd w:val="clear" w:color="auto" w:fill="ffffff"/>
        </w:rPr>
        <w:t>, and k</w:t>
      </w:r>
      <w:r>
        <w:rPr>
          <w:rStyle w:val="style4098"/>
          <w:rFonts w:ascii="Times New Roman" w:cs="Times New Roman" w:hAnsi="Times New Roman"/>
          <w:color w:val="000000"/>
          <w:sz w:val="24"/>
          <w:szCs w:val="24"/>
          <w:bdr w:val="none" w:sz="0" w:space="0" w:color="auto" w:frame="true"/>
          <w:shd w:val="clear" w:color="auto" w:fill="ffffff"/>
          <w:vertAlign w:val="subscript"/>
        </w:rPr>
        <w:t>-2</w:t>
      </w:r>
      <w:r>
        <w:rPr>
          <w:rStyle w:val="style4098"/>
          <w:rFonts w:ascii="Times New Roman" w:cs="Times New Roman" w:hAnsi="Times New Roman"/>
          <w:color w:val="000000"/>
          <w:sz w:val="24"/>
          <w:szCs w:val="24"/>
          <w:bdr w:val="none" w:sz="0" w:space="0" w:color="auto" w:frame="true"/>
          <w:shd w:val="clear" w:color="auto" w:fill="ffffff"/>
        </w:rPr>
        <w:t xml:space="preserve">. From the rate constants, the rate law for response can be derived as;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Rate </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 xml:space="preserve">]. However, during the initial stages of the reaction, the concentration of the product [P] is always zero (0), and therefore, the reverse reaction is ignored, and the rate of reaction will be given by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Rate </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 xml:space="preserve">].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Using steady state approximation the equation is rewritten in terms of reactants assuming that the ES concentration remains constant. Initially the rate at which the ES is formed</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xml:space="preserve">], will be equivalent to rate at which it decomposes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Equating the above two equations,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ab/>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from the equation we can make the [ES] concentration the subject of the formula and get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 </w:t>
      </w:r>
      <w:r>
        <w:rPr>
          <w:rStyle w:val="style4098"/>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 =([</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Km</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where k</w:t>
      </w:r>
      <w:r>
        <w:rPr>
          <w:rStyle w:val="style4099"/>
          <w:rFonts w:ascii="Times New Roman" w:cs="Times New Roman" w:hAnsi="Times New Roman"/>
          <w:color w:val="000000"/>
          <w:sz w:val="24"/>
          <w:szCs w:val="24"/>
          <w:bdr w:val="none" w:sz="0" w:space="0" w:color="auto" w:frame="true"/>
          <w:shd w:val="clear" w:color="auto" w:fill="ffffff"/>
          <w:vertAlign w:val="subscript"/>
        </w:rPr>
        <w:t>m</w:t>
      </w:r>
      <w:r>
        <w:rPr>
          <w:rStyle w:val="style4099"/>
          <w:rFonts w:ascii="Times New Roman" w:cs="Times New Roman" w:hAnsi="Times New Roman"/>
          <w:color w:val="000000"/>
          <w:sz w:val="24"/>
          <w:szCs w:val="24"/>
          <w:bdr w:val="none" w:sz="0" w:space="0" w:color="auto" w:frame="true"/>
          <w:shd w:val="clear" w:color="auto" w:fill="ffffff"/>
        </w:rPr>
        <w:t xml:space="preserve"> </w:t>
      </w:r>
      <w:r>
        <w:rPr>
          <w:rStyle w:val="style4100"/>
          <w:rFonts w:ascii="Times New Roman" w:cs="Times New Roman" w:hAnsi="Times New Roman"/>
          <w:color w:val="000000"/>
          <w:sz w:val="24"/>
          <w:szCs w:val="24"/>
          <w:bdr w:val="none" w:sz="0" w:space="0" w:color="auto" w:frame="true"/>
          <w:shd w:val="clear" w:color="auto" w:fill="ffffff"/>
        </w:rPr>
        <w:t xml:space="preserve">which is the </w:t>
      </w:r>
      <w:r>
        <w:rPr>
          <w:rStyle w:val="style87"/>
          <w:rFonts w:ascii="Times New Roman" w:cs="Times New Roman" w:hAnsi="Times New Roman"/>
          <w:b w:val="false"/>
          <w:color w:val="000000"/>
          <w:sz w:val="24"/>
          <w:szCs w:val="24"/>
          <w:shd w:val="clear" w:color="auto" w:fill="ffffff"/>
        </w:rPr>
        <w:t>Michaelis constant</w:t>
      </w:r>
      <w:r>
        <w:rPr>
          <w:rStyle w:val="style4100"/>
          <w:rFonts w:ascii="Times New Roman" w:cs="Times New Roman" w:hAnsi="Times New Roman"/>
          <w:b/>
          <w:color w:val="000000"/>
          <w:sz w:val="24"/>
          <w:szCs w:val="24"/>
          <w:bdr w:val="none" w:sz="0" w:space="0" w:color="auto" w:frame="true"/>
          <w:shd w:val="clear" w:color="auto" w:fill="ffffff"/>
        </w:rPr>
        <w:t xml:space="preserve"> </w:t>
      </w:r>
      <w:r>
        <w:rPr>
          <w:rStyle w:val="style4099"/>
          <w:rFonts w:ascii="Times New Roman" w:cs="Times New Roman" w:hAnsi="Times New Roman"/>
          <w:color w:val="000000"/>
          <w:sz w:val="24"/>
          <w:szCs w:val="24"/>
          <w:bdr w:val="none" w:sz="0" w:space="0" w:color="auto" w:frame="true"/>
          <w:shd w:val="clear" w:color="auto" w:fill="ffffff"/>
        </w:rPr>
        <w:t>= (</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Fonts w:ascii="Times New Roman" w:cs="Times New Roman" w:hAnsi="Times New Roman"/>
          <w:color w:val="000000"/>
          <w:sz w:val="24"/>
          <w:szCs w:val="24"/>
          <w:bdr w:val="none" w:sz="0" w:space="0" w:color="auto" w:frame="true"/>
          <w:shd w:val="clear" w:color="auto" w:fill="ffffff"/>
        </w:rPr>
        <w:t xml:space="preserve">The final equation will be </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Km</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xml:space="preserve">]) which when plotted </w:t>
      </w:r>
      <w:r>
        <w:rPr>
          <w:rStyle w:val="style4099"/>
          <w:rFonts w:ascii="Times New Roman" w:cs="Times New Roman" w:hAnsi="Times New Roman"/>
          <w:color w:val="000000"/>
          <w:sz w:val="24"/>
          <w:szCs w:val="24"/>
          <w:bdr w:val="none" w:sz="0" w:space="0" w:color="auto" w:frame="true"/>
          <w:shd w:val="clear" w:color="auto" w:fill="ffffff"/>
        </w:rPr>
        <w:t xml:space="preserve">gives the graph below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ab/>
      </w:r>
      <w:r>
        <w:rPr>
          <w:rFonts w:ascii="Times New Roman" w:cs="Times New Roman" w:hAnsi="Times New Roman"/>
          <w:noProof/>
          <w:sz w:val="24"/>
          <w:szCs w:val="24"/>
        </w:rPr>
        <w:drawing>
          <wp:inline distL="0" distT="0" distB="0" distR="0">
            <wp:extent cx="4229600" cy="2264735"/>
            <wp:effectExtent l="19050" t="0" r="0" b="0"/>
            <wp:docPr id="1027" name="Picture 4" descr="Figure13.10.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3" cstate="print"/>
                    <a:srcRect l="0" t="0" r="0" b="0"/>
                    <a:stretch/>
                  </pic:blipFill>
                  <pic:spPr>
                    <a:xfrm rot="0">
                      <a:off x="0" y="0"/>
                      <a:ext cx="4229600" cy="2264735"/>
                    </a:xfrm>
                    <a:prstGeom prst="rect"/>
                    <a:ln>
                      <a:noFill/>
                    </a:ln>
                  </pic:spPr>
                </pic:pic>
              </a:graphicData>
            </a:graphic>
          </wp:inline>
        </w:drawing>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The Lineweaver-Burk plot can be obtained by plotting the inverse of the reaction rate against the inverse of substrate concentration. This plot will help in analyzing the Michaelis- Menten equation graphically. </w:t>
      </w:r>
    </w:p>
    <w:p>
      <w:pPr>
        <w:pStyle w:val="style0"/>
        <w:spacing w:lineRule="auto" w:line="480"/>
        <w:ind w:left="720" w:firstLine="720"/>
        <w:contextualSpacing/>
        <w:rPr>
          <w:rFonts w:ascii="Times New Roman" w:cs="Times New Roman" w:hAnsi="Times New Roman"/>
          <w:color w:val="000000"/>
          <w:sz w:val="24"/>
          <w:szCs w:val="24"/>
          <w:bdr w:val="none" w:sz="0" w:space="0" w:color="auto" w:frame="true"/>
          <w:shd w:val="clear" w:color="auto" w:fill="ffffff"/>
        </w:rPr>
      </w:pPr>
      <w:r>
        <w:rPr>
          <w:rFonts w:ascii="Times New Roman" w:cs="Times New Roman" w:hAnsi="Times New Roman"/>
          <w:noProof/>
          <w:sz w:val="24"/>
          <w:szCs w:val="24"/>
        </w:rPr>
        <w:drawing>
          <wp:inline distL="0" distT="0" distB="0" distR="0">
            <wp:extent cx="4093534" cy="2104755"/>
            <wp:effectExtent l="19050" t="0" r="2215" b="0"/>
            <wp:docPr id="1028" name="Picture 7" descr="https://chem.libretexts.org/@api/deki/files/69102/Lineweaver-Burke_plot.png?revision=2&amp;size=bestfit&amp;width=46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4" cstate="print"/>
                    <a:srcRect l="0" t="0" r="0" b="0"/>
                    <a:stretch/>
                  </pic:blipFill>
                  <pic:spPr>
                    <a:xfrm rot="0">
                      <a:off x="0" y="0"/>
                      <a:ext cx="4093534" cy="2104755"/>
                    </a:xfrm>
                    <a:prstGeom prst="rect"/>
                    <a:ln>
                      <a:noFill/>
                    </a:ln>
                  </pic:spPr>
                </pic:pic>
              </a:graphicData>
            </a:graphic>
          </wp:inline>
        </w:drawing>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Results</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Experiment 1 (no inhibitor)</w:t>
      </w:r>
    </w:p>
    <w:tbl>
      <w:tblPr>
        <w:tblpPr w:leftFromText="180" w:rightFromText="180" w:topFromText="0" w:bottomFromText="0" w:vertAnchor="text" w:horzAnchor="page" w:tblpX="1" w:tblpY="161"/>
        <w:tblW w:w="14360" w:type="dxa"/>
        <w:tblCellMar>
          <w:top w:w="15" w:type="dxa"/>
          <w:bottom w:w="15" w:type="dxa"/>
        </w:tblCellMar>
        <w:tblLook w:val="04A0" w:firstRow="1" w:lastRow="0" w:firstColumn="1" w:lastColumn="0" w:noHBand="0" w:noVBand="1"/>
      </w:tblPr>
      <w:tblGrid>
        <w:gridCol w:w="966"/>
        <w:gridCol w:w="704"/>
        <w:gridCol w:w="705"/>
        <w:gridCol w:w="705"/>
        <w:gridCol w:w="705"/>
        <w:gridCol w:w="705"/>
        <w:gridCol w:w="705"/>
        <w:gridCol w:w="705"/>
        <w:gridCol w:w="705"/>
        <w:gridCol w:w="705"/>
        <w:gridCol w:w="705"/>
        <w:gridCol w:w="705"/>
        <w:gridCol w:w="705"/>
        <w:gridCol w:w="705"/>
        <w:gridCol w:w="705"/>
        <w:gridCol w:w="705"/>
        <w:gridCol w:w="705"/>
        <w:gridCol w:w="705"/>
        <w:gridCol w:w="705"/>
        <w:gridCol w:w="705"/>
      </w:tblGrid>
      <w:tr>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Time</w:t>
            </w:r>
          </w:p>
        </w:tc>
        <w:tc>
          <w:tcPr>
            <w:tcW w:w="704"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T1A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T1B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T2A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T2B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T3A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T3B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T4A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T4B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T5A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T5B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T6A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T6B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T7A</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1.612</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1.406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1.353</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1.064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1.179</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30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0.974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0.954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0.850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0.985</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40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0.858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0.868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0.669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0.818</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50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0.835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0.511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0.490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0.501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0.660</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60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0.536</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70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0.423</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80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0.144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0.320</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90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0.231</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1.779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0.060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0.059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0.060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0.165</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0.126</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0.100</w:t>
            </w:r>
          </w:p>
        </w:tc>
      </w:tr>
    </w:tbl>
    <w:p>
      <w:pPr>
        <w:pStyle w:val="style0"/>
        <w:spacing w:lineRule="auto" w:line="480"/>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960"/>
        <w:gridCol w:w="960"/>
        <w:gridCol w:w="960"/>
        <w:gridCol w:w="960"/>
        <w:gridCol w:w="960"/>
        <w:gridCol w:w="960"/>
        <w:gridCol w:w="960"/>
        <w:gridCol w:w="960"/>
      </w:tblGrid>
      <w:tr>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 T1 Ave </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T2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T3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T4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T5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T6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T7 Ave</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1.581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1.618</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1.406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1.372</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0.954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0.877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1.017</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0.868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0.669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0.855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0.501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0.705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0.353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0.571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70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0.804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0.231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0.448</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0.141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0.34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0.254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0.19</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0.145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0.042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0.115</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5834063" cy="3914775"/>
            <wp:effectExtent l="0" t="0" r="0" b="0"/>
            <wp:docPr id="103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rFonts w:ascii="Times New Roman" w:cs="Times New Roman" w:hAnsi="Times New Roman"/>
          <w:noProof/>
          <w:sz w:val="24"/>
          <w:szCs w:val="24"/>
        </w:rPr>
      </w:r>
    </w:p>
    <w:p>
      <w:pPr>
        <w:pStyle w:val="style0"/>
        <w:spacing w:lineRule="auto" w:line="480"/>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Experiment 2 (inhibitor)</w:t>
      </w:r>
    </w:p>
    <w:tbl>
      <w:tblPr>
        <w:tblpPr w:leftFromText="180" w:rightFromText="180" w:topFromText="0" w:bottomFromText="0" w:vertAnchor="text" w:horzAnchor="page" w:tblpX="1" w:tblpY="161"/>
        <w:tblW w:w="13981" w:type="dxa"/>
        <w:tblCellMar>
          <w:top w:w="15" w:type="dxa"/>
          <w:bottom w:w="15" w:type="dxa"/>
        </w:tblCellMar>
        <w:tblLook w:val="04A0" w:firstRow="1" w:lastRow="0" w:firstColumn="1" w:lastColumn="0" w:noHBand="0" w:noVBand="1"/>
      </w:tblPr>
      <w:tblGrid>
        <w:gridCol w:w="628"/>
        <w:gridCol w:w="704"/>
        <w:gridCol w:w="705"/>
        <w:gridCol w:w="705"/>
        <w:gridCol w:w="705"/>
        <w:gridCol w:w="705"/>
        <w:gridCol w:w="705"/>
        <w:gridCol w:w="705"/>
        <w:gridCol w:w="705"/>
        <w:gridCol w:w="705"/>
        <w:gridCol w:w="705"/>
        <w:gridCol w:w="705"/>
        <w:gridCol w:w="705"/>
        <w:gridCol w:w="705"/>
        <w:gridCol w:w="705"/>
        <w:gridCol w:w="705"/>
        <w:gridCol w:w="705"/>
        <w:gridCol w:w="705"/>
        <w:gridCol w:w="705"/>
        <w:gridCol w:w="705"/>
      </w:tblGrid>
      <w:tr>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Time</w:t>
            </w:r>
          </w:p>
        </w:tc>
        <w:tc>
          <w:tcPr>
            <w:tcW w:w="704"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Ti1A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Ti1B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Ti2A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Ti2B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Ti3A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Ti3B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Ti4A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Ti4B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Ti5A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Ti5B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Ti6A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Ti6B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Ti7A</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Cs/>
                <w:color w:val="000000"/>
                <w:sz w:val="18"/>
                <w:szCs w:val="18"/>
              </w:rPr>
            </w:pPr>
            <w:r>
              <w:rPr>
                <w:rFonts w:ascii="Times New Roman" w:cs="Times New Roman" w:eastAsia="Times New Roman" w:hAnsi="Times New Roman"/>
                <w:bCs/>
                <w:color w:val="000000"/>
                <w:sz w:val="18"/>
                <w:szCs w:val="18"/>
              </w:rPr>
              <w:t>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1.681</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1.672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1.677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1.589</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1.662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1.656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1.517</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30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1.476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1.466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1.487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1.448</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40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1.466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1.438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1.383</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50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60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1.751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1.375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1.351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1.363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1.257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1.256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1.235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1.232</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70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1.154</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80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1.101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1.134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1.099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1.074</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90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1.051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0.962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0.996</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0.945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0.915</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0.955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0.846</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0.755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960"/>
        <w:gridCol w:w="960"/>
        <w:gridCol w:w="960"/>
        <w:gridCol w:w="960"/>
        <w:gridCol w:w="960"/>
        <w:gridCol w:w="960"/>
        <w:gridCol w:w="960"/>
        <w:gridCol w:w="960"/>
      </w:tblGrid>
      <w:tr>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T1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T2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T3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T4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T5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T6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T7 Ave</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1.714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1.693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1.677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1.656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1.599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1.466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1.473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1.459</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1.452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1.316</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1.363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1.257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1.235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70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1.153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1.167</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1.118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1.071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1.093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1.051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1.015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0.936</w:t>
            </w:r>
          </w:p>
        </w:tc>
      </w:tr>
      <w:tr>
        <w:tblPrEx/>
        <w:trPr>
          <w:trHeight w:val="26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0.848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0.865</w:t>
            </w:r>
          </w:p>
        </w:tc>
      </w:tr>
      <w:tr>
        <w:tblPrEx/>
        <w:trPr>
          <w:trHeight w:val="85"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0.797</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5943600" cy="3449320"/>
            <wp:effectExtent l="0" t="0" r="0" b="0"/>
            <wp:docPr id="103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rFonts w:ascii="Times New Roman" w:cs="Times New Roman" w:hAnsi="Times New Roman"/>
          <w:noProof/>
          <w:sz w:val="24"/>
          <w:szCs w:val="24"/>
        </w:rPr>
      </w:r>
    </w:p>
    <w:p>
      <w:pPr>
        <w:pStyle w:val="style0"/>
        <w:spacing w:lineRule="auto" w:line="480"/>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Discussions</w:t>
      </w:r>
    </w:p>
    <w:p>
      <w:pPr>
        <w:pStyle w:val="style0"/>
        <w:spacing w:lineRule="auto" w:line="48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The experiment enabled the determination of the enzymatic activity of LDH using a spectrophotometer. This activity was observed over a range of substrate concentrations. It was noted that the absorbance of the tube contents was decreasing over time, indicating that the NADH was being used up. An explanation for the NADH </w:t>
      </w:r>
      <w:r>
        <w:rPr>
          <w:rFonts w:ascii="Times New Roman" w:cs="Times New Roman" w:hAnsi="Times New Roman"/>
          <w:sz w:val="24"/>
          <w:szCs w:val="24"/>
        </w:rPr>
        <w:t>depletion is the presence of an enzymatic reaction under the influence of LDH</w:t>
      </w:r>
      <w:r>
        <w:rPr>
          <w:rFonts w:ascii="Times New Roman" w:cs="Times New Roman" w:hAnsi="Times New Roman"/>
          <w:sz w:val="24"/>
          <w:szCs w:val="24"/>
        </w:rPr>
        <w:t xml:space="preserve">. In this reaction, LDH catalyzes the conversion </w:t>
      </w:r>
      <w:r>
        <w:rPr>
          <w:rFonts w:ascii="Times New Roman" w:cs="Times New Roman" w:hAnsi="Times New Roman"/>
          <w:sz w:val="24"/>
          <w:szCs w:val="24"/>
        </w:rPr>
        <w:t>of pyruvate to lactate, whereas NADH is the cofactor that sources the hydride and, in turn, is converted to NAD+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Farhana, 2020)</w:t>
      </w:r>
      <w:r>
        <w:rPr>
          <w:rFonts w:ascii="Times New Roman" w:cs="Times New Roman" w:hAnsi="Times New Roman"/>
          <w:sz w:val="24"/>
          <w:szCs w:val="24"/>
        </w:rPr>
        <w:t>. Therefore, the absorbance will decrease because of the changing concentration of NADH, which is present in the mixture to absorb the light.</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Comparing the graphs for experiment one and experiment two, there was a notable difference in the inclination of the lines. As observed, the inclination increased when the experiment was conducted in the presence of substrate only compared to when an inhibitor was added to the reaction. In the presence of the substrate only, the higher the concentration of sodium pyruvate, the faster the rate of the enzymatic reaction leading to a shift</w:t>
      </w:r>
      <w:r>
        <w:rPr>
          <w:rFonts w:ascii="Times New Roman" w:cs="Times New Roman" w:hAnsi="Times New Roman"/>
          <w:sz w:val="24"/>
          <w:szCs w:val="24"/>
        </w:rPr>
        <w:t xml:space="preserve"> of equilibrium to the right. As a rule of thumb, when the substrate concentration is high, the reaction rate will increase because this provides more sites for the enzymes to bind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Kumar, 2018)</w:t>
      </w:r>
      <w:r>
        <w:rPr>
          <w:rFonts w:ascii="Times New Roman" w:cs="Times New Roman" w:hAnsi="Times New Roman"/>
          <w:sz w:val="24"/>
          <w:szCs w:val="24"/>
        </w:rPr>
        <w:t>. It can be deduced that the activity of LDH is proportional to substrate concentration.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In the presence of an inhibitor, however, the inclination of the graphs decreased. Enzyme inhibitors reduce the rate of the reaction by different mechanisms. Competitive inhibitors of LDH will compete with pyruvate for the enzyme's active site, leading to fewer sites for binding the substrate</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w:t>
      </w:r>
      <w:r>
        <w:rPr>
          <w:rFonts w:ascii="Times New Roman" w:cs="Times New Roman" w:hAnsi="Times New Roman"/>
          <w:color w:val="222222"/>
          <w:sz w:val="24"/>
          <w:szCs w:val="24"/>
          <w:shd w:val="clear" w:color="auto" w:fill="ffffff"/>
        </w:rPr>
        <w:t>Chovanová, 2020)</w:t>
      </w:r>
      <w:r>
        <w:rPr>
          <w:rFonts w:ascii="Times New Roman" w:cs="Times New Roman" w:hAnsi="Times New Roman"/>
          <w:sz w:val="24"/>
          <w:szCs w:val="24"/>
        </w:rPr>
        <w:t>. As a result, the rate of product formation is slowed, and the equilibrium may shift to the left. Non-competitive inhibitors, on the other hand, will bind to sites other than the active site and cause a conformational change to the enzyme to interfere with the binding of the substrate on the active site. Therefore, it can be concluded that the activity of LDH is indirectly proportional to the inhibitors.</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From the experiment, it can be concluded that the rate of enzymatic activity of LDH is directly proportional to the concentration of the substrate and indirectly proportional to the presence of an inhibitor. The higher the concentration of pyruvate, the higher the reaction rate, </w:t>
      </w:r>
      <w:r>
        <w:rPr>
          <w:rFonts w:ascii="Times New Roman" w:cs="Times New Roman" w:hAnsi="Times New Roman"/>
          <w:sz w:val="24"/>
          <w:szCs w:val="24"/>
        </w:rPr>
        <w:t xml:space="preserve">leading to a faster decrease in NADH concentration to absorb light. In the presence of inhibitors, the reaction rate decreases, and the concentration of NADH changes slowly hence the slight effect on light absorbance. </w:t>
      </w: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b/>
          <w:bCs/>
          <w:sz w:val="24"/>
          <w:szCs w:val="24"/>
        </w:rPr>
      </w:pPr>
      <w:r>
        <w:rPr>
          <w:rFonts w:ascii="Times New Roman" w:cs="Times New Roman" w:hAnsi="Times New Roman"/>
          <w:b/>
          <w:bCs/>
          <w:sz w:val="24"/>
          <w:szCs w:val="24"/>
        </w:rPr>
        <w:t>Endnotes</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Farhana, A. and Lappin, S.L., 2020. Biochemistry, lactate dehydrogenase.</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Feng, Y., Xiong, Y., Qiao, T., Li, X., Jia, L. and Han, Y., 2018. Lactate dehydrogenase A: A key player in carcinogenesis and potential target in cancer therapy. </w:t>
      </w:r>
      <w:r>
        <w:rPr>
          <w:rFonts w:ascii="Times New Roman" w:cs="Times New Roman" w:hAnsi="Times New Roman"/>
          <w:i/>
          <w:iCs/>
          <w:color w:val="222222"/>
          <w:sz w:val="24"/>
          <w:szCs w:val="24"/>
          <w:shd w:val="clear" w:color="auto" w:fill="ffffff"/>
        </w:rPr>
        <w:t>Cancer medicine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(12), pp.6124-6136.</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Freyer, D. and Harms, C., 2017. Kinetic lactate dehydrogenase assay for detection of cell damage in primary neuronal cell cultures. </w:t>
      </w:r>
      <w:r>
        <w:rPr>
          <w:rFonts w:ascii="Times New Roman" w:cs="Times New Roman" w:hAnsi="Times New Roman"/>
          <w:i/>
          <w:iCs/>
          <w:color w:val="222222"/>
          <w:sz w:val="24"/>
          <w:szCs w:val="24"/>
          <w:shd w:val="clear" w:color="auto" w:fill="ffffff"/>
        </w:rPr>
        <w:t>Bio-protocol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(11), pp.e2308-e2308.</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Klein, R., Nagy, O., Tóthová, C. and Chovanová, F., 2020. Clinical and diagnostic significance of lactate dehydrogenase and its isoenzymes in animals. </w:t>
      </w:r>
      <w:r>
        <w:rPr>
          <w:rFonts w:ascii="Times New Roman" w:cs="Times New Roman" w:hAnsi="Times New Roman"/>
          <w:i/>
          <w:iCs/>
          <w:color w:val="222222"/>
          <w:sz w:val="24"/>
          <w:szCs w:val="24"/>
          <w:shd w:val="clear" w:color="auto" w:fill="ffffff"/>
        </w:rPr>
        <w:t>Veterinary Medicine International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2020</w:t>
      </w:r>
      <w:r>
        <w:rPr>
          <w:rFonts w:ascii="Times New Roman" w:cs="Times New Roman" w:hAnsi="Times New Roman"/>
          <w:color w:val="222222"/>
          <w:sz w:val="24"/>
          <w:szCs w:val="24"/>
          <w:shd w:val="clear" w:color="auto" w:fill="ffffff"/>
        </w:rPr>
        <w:t>.</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Kumar, P., Nagarajan, A. and Uchil, P.D., 2018. Analysis of cell viability by the lactate dehydrogenase assay. </w:t>
      </w:r>
      <w:r>
        <w:rPr>
          <w:rFonts w:ascii="Times New Roman" w:cs="Times New Roman" w:hAnsi="Times New Roman"/>
          <w:i/>
          <w:iCs/>
          <w:color w:val="222222"/>
          <w:sz w:val="24"/>
          <w:szCs w:val="24"/>
          <w:shd w:val="clear" w:color="auto" w:fill="ffffff"/>
        </w:rPr>
        <w:t>Cold Spring Harbor Protocols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2018</w:t>
      </w:r>
      <w:r>
        <w:rPr>
          <w:rFonts w:ascii="Times New Roman" w:cs="Times New Roman" w:hAnsi="Times New Roman"/>
          <w:color w:val="222222"/>
          <w:sz w:val="24"/>
          <w:szCs w:val="24"/>
          <w:shd w:val="clear" w:color="auto" w:fill="ffffff"/>
        </w:rPr>
        <w:t>(6), pp.pdb-prot095497.</w:t>
      </w:r>
    </w:p>
    <w:p>
      <w:pPr>
        <w:pStyle w:val="style0"/>
        <w:spacing w:lineRule="auto" w:line="480"/>
        <w:contextualSpacing/>
        <w:rPr>
          <w:rFonts w:ascii="Times New Roman" w:cs="Times New Roman" w:hAnsi="Times New Roman"/>
          <w:sz w:val="24"/>
          <w:szCs w:val="24"/>
        </w:rPr>
      </w:pPr>
    </w:p>
    <w:sectPr>
      <w:headerReference w:type="default" r:id="rId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Math">
    <w:altName w:val="Cambria Math"/>
    <w:panose1 w:val="02040503050004030204"/>
    <w:charset w:val="00"/>
    <w:family w:val="roman"/>
    <w:pitch w:val="variable"/>
    <w:sig w:usb0="E00006FF" w:usb1="420024FF" w:usb2="02000000" w:usb3="00000000" w:csb0="0000019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29D2E09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character" w:styleId="style85">
    <w:name w:val="Hyperlink"/>
    <w:basedOn w:val="style65"/>
    <w:next w:val="style85"/>
    <w:uiPriority w:val="99"/>
    <w:rPr>
      <w:color w:val="0000ff"/>
      <w:u w:val="single"/>
    </w:rPr>
  </w:style>
  <w:style w:type="character" w:customStyle="1" w:styleId="style4098">
    <w:name w:val="mi"/>
    <w:basedOn w:val="style65"/>
    <w:next w:val="style4098"/>
  </w:style>
  <w:style w:type="character" w:customStyle="1" w:styleId="style4099">
    <w:name w:val="mo"/>
    <w:basedOn w:val="style65"/>
    <w:next w:val="style4099"/>
  </w:style>
  <w:style w:type="character" w:customStyle="1" w:styleId="style4100">
    <w:name w:val="mn"/>
    <w:basedOn w:val="style65"/>
    <w:next w:val="style4100"/>
  </w:style>
  <w:style w:type="character" w:styleId="style87">
    <w:name w:val="Strong"/>
    <w:basedOn w:val="style65"/>
    <w:next w:val="style87"/>
    <w:qFormat/>
    <w:uiPriority w:val="22"/>
    <w:rPr>
      <w:b/>
      <w:bCs/>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7ca0e73c-c0f3-4b11-ba80-607d04f58e49"/>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b2a647ae-65e8-41d1-941f-2f0e515065b8"/>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settings" Target="settings.xml"/><Relationship Id="rId12" Type="http://schemas.openxmlformats.org/officeDocument/2006/relationships/customXml" Target="../customXml/item1.xml"/><Relationship Id="rId9" Type="http://schemas.openxmlformats.org/officeDocument/2006/relationships/fontTable" Target="fontTable.xml"/><Relationship Id="rId5" Type="http://schemas.openxmlformats.org/officeDocument/2006/relationships/chart" Target="charts/chart1.xml"/><Relationship Id="rId6" Type="http://schemas.openxmlformats.org/officeDocument/2006/relationships/chart" Target="charts/chart2.xml"/><Relationship Id="rId7" Type="http://schemas.openxmlformats.org/officeDocument/2006/relationships/header" Target="header1.xml"/><Relationship Id="rId8" Type="http://schemas.openxmlformats.org/officeDocument/2006/relationships/styles" Target="styles.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 Id="rId2" Type="http://schemas.microsoft.com/office/2011/relationships/chartStyle" Target="style1.xml"/><Relationship Id="rId3" Type="http://schemas.microsoft.com/office/2011/relationships/chartColorStyle" Target="colors1.xml"/></Relationships>
</file>

<file path=word/charts/_rels/chart2.xml.rels><?xml version="1.0" encoding="UTF-8"?>
<Relationships xmlns="http://schemas.openxmlformats.org/package/2006/relationships"><Relationship Id="rId1" Type="http://schemas.openxmlformats.org/officeDocument/2006/relationships/package" Target="../embeddings/Microsoft_Excel____2.xlsx"/><Relationship Id="rId2" Type="http://schemas.microsoft.com/office/2011/relationships/chartStyle" Target="style2.xml"/><Relationship Id="rId3" Type="http://schemas.microsoft.com/office/2011/relationships/chartColorStyle" Target="colors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Absorbance vs time (S) </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scatterChart>
        <c:scatterStyle val="lineMarker"/>
        <c:varyColors val="0"/>
        <c:ser>
          <c:idx val="0"/>
          <c:order val="0"/>
          <c:tx>
            <c:strRef>
              <c:f>'experiment 1'!$C$29</c:f>
              <c:strCache>
                <c:ptCount val="1"/>
                <c:pt idx="0">
                  <c:v> T1 Ave </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trendline>
            <c:spPr>
              <a:ln w="19050" cap="rnd">
                <a:solidFill>
                  <a:schemeClr val="accent1"/>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1'!$C$30:$C$42</c:f>
              <c:numCache>
                <c:formatCode>General</c:formatCode>
                <c:ptCount val="13"/>
                <c:pt idx="0">
                  <c:v>1.787</c:v>
                </c:pt>
                <c:pt idx="1">
                  <c:v>1.789</c:v>
                </c:pt>
                <c:pt idx="2">
                  <c:v>1.783</c:v>
                </c:pt>
                <c:pt idx="3">
                  <c:v>1.785</c:v>
                </c:pt>
                <c:pt idx="4">
                  <c:v>1.787</c:v>
                </c:pt>
                <c:pt idx="5">
                  <c:v>1.786</c:v>
                </c:pt>
                <c:pt idx="6">
                  <c:v>1.784</c:v>
                </c:pt>
                <c:pt idx="7">
                  <c:v>1.785</c:v>
                </c:pt>
                <c:pt idx="8">
                  <c:v>1.785</c:v>
                </c:pt>
                <c:pt idx="9">
                  <c:v>1.783</c:v>
                </c:pt>
                <c:pt idx="10">
                  <c:v>1.782</c:v>
                </c:pt>
                <c:pt idx="11">
                  <c:v>1.788</c:v>
                </c:pt>
                <c:pt idx="12">
                  <c:v>1.785</c:v>
                </c:pt>
              </c:numCache>
            </c:numRef>
          </c:yVal>
          <c:smooth val="0"/>
        </c:ser>
        <c:ser>
          <c:idx val="1"/>
          <c:order val="1"/>
          <c:tx>
            <c:strRef>
              <c:f>'experiment 1'!$D$29</c:f>
              <c:strCache>
                <c:ptCount val="1"/>
                <c:pt idx="0">
                  <c:v>T2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trendline>
            <c:spPr>
              <a:ln w="19050" cap="rnd">
                <a:solidFill>
                  <a:schemeClr val="accent2"/>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1'!$D$30:$D$42</c:f>
              <c:numCache>
                <c:formatCode>General</c:formatCode>
                <c:ptCount val="13"/>
                <c:pt idx="0">
                  <c:v>1.687</c:v>
                </c:pt>
                <c:pt idx="1">
                  <c:v>1.645</c:v>
                </c:pt>
                <c:pt idx="2">
                  <c:v>1.633</c:v>
                </c:pt>
                <c:pt idx="3">
                  <c:v>1.634</c:v>
                </c:pt>
                <c:pt idx="4">
                  <c:v>1.629</c:v>
                </c:pt>
                <c:pt idx="5">
                  <c:v>1.629</c:v>
                </c:pt>
                <c:pt idx="6">
                  <c:v>1.629</c:v>
                </c:pt>
                <c:pt idx="7">
                  <c:v>1.628</c:v>
                </c:pt>
                <c:pt idx="8">
                  <c:v>1.627</c:v>
                </c:pt>
                <c:pt idx="9">
                  <c:v>1.627</c:v>
                </c:pt>
                <c:pt idx="10">
                  <c:v>1.626</c:v>
                </c:pt>
                <c:pt idx="11">
                  <c:v>1.629</c:v>
                </c:pt>
                <c:pt idx="12">
                  <c:v>1.627</c:v>
                </c:pt>
              </c:numCache>
            </c:numRef>
          </c:yVal>
          <c:smooth val="0"/>
        </c:ser>
        <c:ser>
          <c:idx val="2"/>
          <c:order val="2"/>
          <c:tx>
            <c:strRef>
              <c:f>'experiment 1'!$E$29</c:f>
              <c:strCache>
                <c:ptCount val="1"/>
                <c:pt idx="0">
                  <c:v>T3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trendline>
            <c:spPr>
              <a:ln w="19050" cap="rnd">
                <a:solidFill>
                  <a:schemeClr val="accent3"/>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1'!$E$30:$E$42</c:f>
              <c:numCache>
                <c:formatCode>General</c:formatCode>
                <c:ptCount val="13"/>
                <c:pt idx="0">
                  <c:v>1.638</c:v>
                </c:pt>
                <c:pt idx="1">
                  <c:v>1.547</c:v>
                </c:pt>
                <c:pt idx="2">
                  <c:v>1.529</c:v>
                </c:pt>
                <c:pt idx="3">
                  <c:v>1.526</c:v>
                </c:pt>
                <c:pt idx="4">
                  <c:v>1.523</c:v>
                </c:pt>
                <c:pt idx="5">
                  <c:v>1.522</c:v>
                </c:pt>
                <c:pt idx="6">
                  <c:v>1.519</c:v>
                </c:pt>
                <c:pt idx="7">
                  <c:v>1.518</c:v>
                </c:pt>
                <c:pt idx="8">
                  <c:v>1.515</c:v>
                </c:pt>
                <c:pt idx="9">
                  <c:v>1.516</c:v>
                </c:pt>
                <c:pt idx="10">
                  <c:v>1.515</c:v>
                </c:pt>
                <c:pt idx="11">
                  <c:v>1.515</c:v>
                </c:pt>
                <c:pt idx="12">
                  <c:v>1.514</c:v>
                </c:pt>
              </c:numCache>
            </c:numRef>
          </c:yVal>
          <c:smooth val="0"/>
        </c:ser>
        <c:ser>
          <c:idx val="3"/>
          <c:order val="3"/>
          <c:tx>
            <c:strRef>
              <c:f>'experiment 1'!$F$29</c:f>
              <c:strCache>
                <c:ptCount val="1"/>
                <c:pt idx="0">
                  <c:v>T4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c:spPr>
          </c:marker>
          <c:trendline>
            <c:spPr>
              <a:ln w="19050" cap="rnd">
                <a:solidFill>
                  <a:schemeClr val="accent4"/>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1'!$F$30:$F$42</c:f>
              <c:numCache>
                <c:formatCode>General</c:formatCode>
                <c:ptCount val="13"/>
                <c:pt idx="0">
                  <c:v>1.609</c:v>
                </c:pt>
                <c:pt idx="1">
                  <c:v>1.406</c:v>
                </c:pt>
                <c:pt idx="2">
                  <c:v>1.332</c:v>
                </c:pt>
                <c:pt idx="3">
                  <c:v>1.308</c:v>
                </c:pt>
                <c:pt idx="4">
                  <c:v>1.297</c:v>
                </c:pt>
                <c:pt idx="5">
                  <c:v>1.291</c:v>
                </c:pt>
                <c:pt idx="6">
                  <c:v>1.286</c:v>
                </c:pt>
                <c:pt idx="7">
                  <c:v>1.282</c:v>
                </c:pt>
                <c:pt idx="8">
                  <c:v>1.281</c:v>
                </c:pt>
                <c:pt idx="9">
                  <c:v>1.28</c:v>
                </c:pt>
                <c:pt idx="10">
                  <c:v>1.279</c:v>
                </c:pt>
                <c:pt idx="11">
                  <c:v>1.278</c:v>
                </c:pt>
                <c:pt idx="12">
                  <c:v>1.278</c:v>
                </c:pt>
              </c:numCache>
            </c:numRef>
          </c:yVal>
          <c:smooth val="0"/>
        </c:ser>
        <c:ser>
          <c:idx val="4"/>
          <c:order val="4"/>
          <c:tx>
            <c:strRef>
              <c:f>'experiment 1'!$G$29</c:f>
              <c:strCache>
                <c:ptCount val="1"/>
                <c:pt idx="0">
                  <c:v>T5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7150" dist="19050" dir="5400000" algn="ctr" rotWithShape="0">
                  <a:srgbClr val="000000">
                    <a:alpha val="63000"/>
                  </a:srgbClr>
                </a:outerShdw>
              </a:effectLst>
            </c:spPr>
          </c:marker>
          <c:trendline>
            <c:spPr>
              <a:ln w="19050" cap="rnd">
                <a:solidFill>
                  <a:schemeClr val="accent5"/>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1'!$G$30:$G$42</c:f>
              <c:numCache>
                <c:formatCode>General</c:formatCode>
                <c:ptCount val="13"/>
                <c:pt idx="0">
                  <c:v>1.581</c:v>
                </c:pt>
                <c:pt idx="1">
                  <c:v>1.291</c:v>
                </c:pt>
                <c:pt idx="2">
                  <c:v>1.103</c:v>
                </c:pt>
                <c:pt idx="3">
                  <c:v>0.954</c:v>
                </c:pt>
                <c:pt idx="4">
                  <c:v>0.868</c:v>
                </c:pt>
                <c:pt idx="5">
                  <c:v>0.828</c:v>
                </c:pt>
                <c:pt idx="6">
                  <c:v>0.813</c:v>
                </c:pt>
                <c:pt idx="7">
                  <c:v>0.804</c:v>
                </c:pt>
                <c:pt idx="8">
                  <c:v>0.799</c:v>
                </c:pt>
                <c:pt idx="9">
                  <c:v>0.794</c:v>
                </c:pt>
                <c:pt idx="10">
                  <c:v>0.79</c:v>
                </c:pt>
                <c:pt idx="11">
                  <c:v>0.787</c:v>
                </c:pt>
                <c:pt idx="12">
                  <c:v>0.786</c:v>
                </c:pt>
              </c:numCache>
            </c:numRef>
          </c:yVal>
          <c:smooth val="0"/>
        </c:ser>
        <c:ser>
          <c:idx val="5"/>
          <c:order val="5"/>
          <c:tx>
            <c:strRef>
              <c:f>'experiment 1'!$H$29</c:f>
              <c:strCache>
                <c:ptCount val="1"/>
                <c:pt idx="0">
                  <c:v>T6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c:spPr>
          </c:marker>
          <c:trendline>
            <c:spPr>
              <a:ln w="19050" cap="rnd">
                <a:solidFill>
                  <a:schemeClr val="accent6"/>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1'!$H$30:$H$42</c:f>
              <c:numCache>
                <c:formatCode>General</c:formatCode>
                <c:ptCount val="13"/>
                <c:pt idx="0">
                  <c:v>1.579</c:v>
                </c:pt>
                <c:pt idx="1">
                  <c:v>1.285</c:v>
                </c:pt>
                <c:pt idx="2">
                  <c:v>1.082</c:v>
                </c:pt>
                <c:pt idx="3">
                  <c:v>0.877</c:v>
                </c:pt>
                <c:pt idx="4">
                  <c:v>0.669</c:v>
                </c:pt>
                <c:pt idx="5">
                  <c:v>0.501</c:v>
                </c:pt>
                <c:pt idx="6">
                  <c:v>0.353</c:v>
                </c:pt>
                <c:pt idx="7">
                  <c:v>0.231</c:v>
                </c:pt>
                <c:pt idx="8">
                  <c:v>0.141</c:v>
                </c:pt>
                <c:pt idx="9">
                  <c:v>0.087</c:v>
                </c:pt>
                <c:pt idx="10">
                  <c:v>0.06</c:v>
                </c:pt>
                <c:pt idx="11">
                  <c:v>0.047</c:v>
                </c:pt>
                <c:pt idx="12">
                  <c:v>0.042</c:v>
                </c:pt>
              </c:numCache>
            </c:numRef>
          </c:yVal>
          <c:smooth val="0"/>
        </c:ser>
        <c:ser>
          <c:idx val="6"/>
          <c:order val="6"/>
          <c:tx>
            <c:strRef>
              <c:f>'experiment 1'!$I$29</c:f>
              <c:strCache>
                <c:ptCount val="1"/>
                <c:pt idx="0">
                  <c:v>T7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cap="rnd">
                <a:solidFill>
                  <a:schemeClr val="accent1">
                    <a:lumMod val="60000"/>
                  </a:schemeClr>
                </a:solidFill>
                <a:round/>
              </a:ln>
              <a:effectLst>
                <a:outerShdw blurRad="57150" dist="19050" dir="5400000" algn="ctr" rotWithShape="0">
                  <a:srgbClr val="000000">
                    <a:alpha val="63000"/>
                  </a:srgbClr>
                </a:outerShdw>
              </a:effectLst>
            </c:spPr>
          </c:marker>
          <c:trendline>
            <c:spPr>
              <a:ln w="19050" cap="rnd">
                <a:solidFill>
                  <a:schemeClr val="accent1">
                    <a:lumMod val="60000"/>
                  </a:schemeClr>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1'!$I$30:$I$42</c:f>
              <c:numCache>
                <c:formatCode>General</c:formatCode>
                <c:ptCount val="13"/>
                <c:pt idx="0">
                  <c:v>1.618</c:v>
                </c:pt>
                <c:pt idx="1">
                  <c:v>1.372</c:v>
                </c:pt>
                <c:pt idx="2">
                  <c:v>1.2</c:v>
                </c:pt>
                <c:pt idx="3">
                  <c:v>1.017</c:v>
                </c:pt>
                <c:pt idx="4">
                  <c:v>0.855</c:v>
                </c:pt>
                <c:pt idx="5">
                  <c:v>0.705</c:v>
                </c:pt>
                <c:pt idx="6">
                  <c:v>0.571</c:v>
                </c:pt>
                <c:pt idx="7">
                  <c:v>0.448</c:v>
                </c:pt>
                <c:pt idx="8">
                  <c:v>0.34</c:v>
                </c:pt>
                <c:pt idx="9">
                  <c:v>0.254</c:v>
                </c:pt>
                <c:pt idx="10">
                  <c:v>0.19</c:v>
                </c:pt>
                <c:pt idx="11">
                  <c:v>0.145</c:v>
                </c:pt>
                <c:pt idx="12">
                  <c:v>0.115</c:v>
                </c:pt>
              </c:numCache>
            </c:numRef>
          </c:yVal>
          <c:smooth val="0"/>
        </c:ser>
        <c:dLbls>
          <c:showLegendKey val="0"/>
          <c:showVal val="0"/>
          <c:showCatName val="0"/>
          <c:showSerName val="0"/>
          <c:showPercent val="0"/>
          <c:showBubbleSize val="0"/>
        </c:dLbls>
        <c:axId val="424439416"/>
        <c:axId val="424437448"/>
      </c:scatterChart>
      <c:valAx>
        <c:axId val="424439416"/>
        <c:scaling>
          <c:orientation val="minMax"/>
        </c:scaling>
        <c:delete val="0"/>
        <c:axPos val="b"/>
        <c:majorGridlines>
          <c:spPr>
            <a:ln w="9525">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Time (SECONDS)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24437448"/>
        <c:crosses val="autoZero"/>
        <c:crossBetween val="midCat"/>
      </c:valAx>
      <c:valAx>
        <c:axId val="424437448"/>
        <c:scaling>
          <c:orientation val="minMax"/>
        </c:scaling>
        <c:delete val="0"/>
        <c:axPos val="l"/>
        <c:majorGridlines>
          <c:spPr>
            <a:ln w="9525">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absorbance</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2443941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absorbance vs time (S)</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manualLayout>
          <c:layoutTarget val="inner"/>
          <c:xMode val="edge"/>
          <c:yMode val="edge"/>
          <c:x val="0.06780059068126795"/>
          <c:y val="0.10399487731915619"/>
          <c:w val="0.9074453729217141"/>
          <c:h val="0.6128684048441335"/>
        </c:manualLayout>
      </c:layout>
      <c:scatterChart>
        <c:scatterStyle val="lineMarker"/>
        <c:varyColors val="0"/>
        <c:ser>
          <c:idx val="0"/>
          <c:order val="0"/>
          <c:tx>
            <c:strRef>
              <c:f>'experiment 2'!$C$26</c:f>
              <c:strCache>
                <c:ptCount val="1"/>
                <c:pt idx="0">
                  <c:v>T1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trendline>
            <c:spPr>
              <a:ln w="19050" cap="rnd">
                <a:solidFill>
                  <a:schemeClr val="accent1"/>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2'!$C$27:$C$39</c:f>
              <c:numCache>
                <c:formatCode>General</c:formatCode>
                <c:ptCount val="13"/>
                <c:pt idx="0">
                  <c:v>1.729</c:v>
                </c:pt>
                <c:pt idx="1">
                  <c:v>1.726</c:v>
                </c:pt>
                <c:pt idx="2">
                  <c:v>1.728</c:v>
                </c:pt>
                <c:pt idx="3">
                  <c:v>1.724</c:v>
                </c:pt>
                <c:pt idx="4">
                  <c:v>1.724</c:v>
                </c:pt>
                <c:pt idx="5">
                  <c:v>1.724</c:v>
                </c:pt>
                <c:pt idx="6">
                  <c:v>1.729</c:v>
                </c:pt>
                <c:pt idx="7">
                  <c:v>1.725</c:v>
                </c:pt>
                <c:pt idx="8">
                  <c:v>1.726</c:v>
                </c:pt>
                <c:pt idx="9">
                  <c:v>1.726</c:v>
                </c:pt>
                <c:pt idx="10">
                  <c:v>1.721</c:v>
                </c:pt>
                <c:pt idx="11">
                  <c:v>1.726</c:v>
                </c:pt>
                <c:pt idx="12">
                  <c:v>1.725</c:v>
                </c:pt>
              </c:numCache>
            </c:numRef>
          </c:yVal>
          <c:smooth val="0"/>
        </c:ser>
        <c:ser>
          <c:idx val="1"/>
          <c:order val="1"/>
          <c:tx>
            <c:strRef>
              <c:f>'experiment 2'!$D$26</c:f>
              <c:strCache>
                <c:ptCount val="1"/>
                <c:pt idx="0">
                  <c:v>T2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trendline>
            <c:spPr>
              <a:ln w="19050" cap="rnd">
                <a:solidFill>
                  <a:schemeClr val="accent2"/>
                </a:solidFill>
                <a:prstDash val="sysDash"/>
              </a:ln>
              <a:effectLst/>
            </c:spPr>
            <c:trendlineType val="log"/>
            <c:dispRSqr val="0"/>
            <c:dispEq val="0"/>
          </c:trendline>
          <c:trendline>
            <c:spPr>
              <a:ln w="19050" cap="rnd">
                <a:solidFill>
                  <a:schemeClr val="accent2"/>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2'!$D$27:$D$39</c:f>
              <c:numCache>
                <c:formatCode>General</c:formatCode>
                <c:ptCount val="13"/>
                <c:pt idx="0">
                  <c:v>1.723</c:v>
                </c:pt>
                <c:pt idx="1">
                  <c:v>1.677</c:v>
                </c:pt>
                <c:pt idx="2">
                  <c:v>1.656</c:v>
                </c:pt>
                <c:pt idx="3">
                  <c:v>1.645</c:v>
                </c:pt>
                <c:pt idx="4">
                  <c:v>1.64</c:v>
                </c:pt>
                <c:pt idx="5">
                  <c:v>1.637</c:v>
                </c:pt>
                <c:pt idx="6">
                  <c:v>1.637</c:v>
                </c:pt>
                <c:pt idx="7">
                  <c:v>1.634</c:v>
                </c:pt>
                <c:pt idx="8">
                  <c:v>1.632</c:v>
                </c:pt>
                <c:pt idx="9">
                  <c:v>1.634</c:v>
                </c:pt>
                <c:pt idx="10">
                  <c:v>1.63</c:v>
                </c:pt>
                <c:pt idx="11">
                  <c:v>1.631</c:v>
                </c:pt>
                <c:pt idx="12">
                  <c:v>1.631</c:v>
                </c:pt>
              </c:numCache>
            </c:numRef>
          </c:yVal>
          <c:smooth val="0"/>
        </c:ser>
        <c:ser>
          <c:idx val="2"/>
          <c:order val="2"/>
          <c:tx>
            <c:strRef>
              <c:f>'experiment 2'!$E$26</c:f>
              <c:strCache>
                <c:ptCount val="1"/>
                <c:pt idx="0">
                  <c:v>T3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trendline>
            <c:spPr>
              <a:ln w="19050" cap="rnd">
                <a:solidFill>
                  <a:schemeClr val="accent3"/>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2'!$E$27:$E$39</c:f>
              <c:numCache>
                <c:formatCode>General</c:formatCode>
                <c:ptCount val="13"/>
                <c:pt idx="0">
                  <c:v>1.714</c:v>
                </c:pt>
                <c:pt idx="1">
                  <c:v>1.643</c:v>
                </c:pt>
                <c:pt idx="2">
                  <c:v>1.599</c:v>
                </c:pt>
                <c:pt idx="3">
                  <c:v>1.564</c:v>
                </c:pt>
                <c:pt idx="4">
                  <c:v>1.546</c:v>
                </c:pt>
                <c:pt idx="5">
                  <c:v>1.535</c:v>
                </c:pt>
                <c:pt idx="6">
                  <c:v>1.527</c:v>
                </c:pt>
                <c:pt idx="7">
                  <c:v>1.524</c:v>
                </c:pt>
                <c:pt idx="8">
                  <c:v>1.524</c:v>
                </c:pt>
                <c:pt idx="9">
                  <c:v>1.521</c:v>
                </c:pt>
                <c:pt idx="10">
                  <c:v>1.521</c:v>
                </c:pt>
                <c:pt idx="11">
                  <c:v>1.521</c:v>
                </c:pt>
                <c:pt idx="12">
                  <c:v>1.52</c:v>
                </c:pt>
              </c:numCache>
            </c:numRef>
          </c:yVal>
          <c:smooth val="0"/>
        </c:ser>
        <c:ser>
          <c:idx val="3"/>
          <c:order val="3"/>
          <c:tx>
            <c:strRef>
              <c:f>'experiment 2'!$F$26</c:f>
              <c:strCache>
                <c:ptCount val="1"/>
                <c:pt idx="0">
                  <c:v>T4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c:spPr>
          </c:marker>
          <c:trendline>
            <c:spPr>
              <a:ln w="19050" cap="rnd">
                <a:solidFill>
                  <a:schemeClr val="accent4"/>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2'!$F$27:$F$39</c:f>
              <c:numCache>
                <c:formatCode>General</c:formatCode>
                <c:ptCount val="13"/>
                <c:pt idx="0">
                  <c:v>1.708</c:v>
                </c:pt>
                <c:pt idx="1">
                  <c:v>1.621</c:v>
                </c:pt>
                <c:pt idx="2">
                  <c:v>1.564</c:v>
                </c:pt>
                <c:pt idx="3">
                  <c:v>1.508</c:v>
                </c:pt>
                <c:pt idx="4">
                  <c:v>1.452</c:v>
                </c:pt>
                <c:pt idx="5">
                  <c:v>1.403</c:v>
                </c:pt>
                <c:pt idx="6">
                  <c:v>1.363</c:v>
                </c:pt>
                <c:pt idx="7">
                  <c:v>1.333</c:v>
                </c:pt>
                <c:pt idx="8">
                  <c:v>1.317</c:v>
                </c:pt>
                <c:pt idx="9">
                  <c:v>1.311</c:v>
                </c:pt>
                <c:pt idx="10">
                  <c:v>1.305</c:v>
                </c:pt>
                <c:pt idx="11">
                  <c:v>1.303</c:v>
                </c:pt>
                <c:pt idx="12">
                  <c:v>1.3</c:v>
                </c:pt>
              </c:numCache>
            </c:numRef>
          </c:yVal>
          <c:smooth val="0"/>
        </c:ser>
        <c:ser>
          <c:idx val="4"/>
          <c:order val="4"/>
          <c:tx>
            <c:strRef>
              <c:f>'experiment 2'!$G$26</c:f>
              <c:strCache>
                <c:ptCount val="1"/>
                <c:pt idx="0">
                  <c:v>T5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7150" dist="19050" dir="5400000" algn="ctr" rotWithShape="0">
                  <a:srgbClr val="000000">
                    <a:alpha val="63000"/>
                  </a:srgbClr>
                </a:outerShdw>
              </a:effectLst>
            </c:spPr>
          </c:marker>
          <c:trendline>
            <c:spPr>
              <a:ln w="19050" cap="rnd">
                <a:solidFill>
                  <a:schemeClr val="accent5"/>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2'!$G$27:$G$39</c:f>
              <c:numCache>
                <c:formatCode>General</c:formatCode>
                <c:ptCount val="13"/>
                <c:pt idx="0">
                  <c:v>1.703</c:v>
                </c:pt>
                <c:pt idx="1">
                  <c:v>1.607</c:v>
                </c:pt>
                <c:pt idx="2">
                  <c:v>1.539</c:v>
                </c:pt>
                <c:pt idx="3">
                  <c:v>1.466</c:v>
                </c:pt>
                <c:pt idx="4">
                  <c:v>1.398</c:v>
                </c:pt>
                <c:pt idx="5">
                  <c:v>1.332</c:v>
                </c:pt>
                <c:pt idx="6">
                  <c:v>1.257</c:v>
                </c:pt>
                <c:pt idx="7">
                  <c:v>1.187</c:v>
                </c:pt>
                <c:pt idx="8">
                  <c:v>1.118</c:v>
                </c:pt>
                <c:pt idx="9">
                  <c:v>1.051</c:v>
                </c:pt>
                <c:pt idx="10">
                  <c:v>0.992</c:v>
                </c:pt>
                <c:pt idx="11">
                  <c:v>0.937</c:v>
                </c:pt>
                <c:pt idx="12">
                  <c:v>0.892</c:v>
                </c:pt>
              </c:numCache>
            </c:numRef>
          </c:yVal>
          <c:smooth val="0"/>
        </c:ser>
        <c:ser>
          <c:idx val="5"/>
          <c:order val="5"/>
          <c:tx>
            <c:strRef>
              <c:f>'experiment 2'!$H$26</c:f>
              <c:strCache>
                <c:ptCount val="1"/>
                <c:pt idx="0">
                  <c:v>T6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c:spPr>
          </c:marker>
          <c:trendline>
            <c:spPr>
              <a:ln w="19050" cap="rnd">
                <a:solidFill>
                  <a:schemeClr val="accent6"/>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2'!$H$27:$H$39</c:f>
              <c:numCache>
                <c:formatCode>General</c:formatCode>
                <c:ptCount val="13"/>
                <c:pt idx="0">
                  <c:v>1.713</c:v>
                </c:pt>
                <c:pt idx="1">
                  <c:v>1.613</c:v>
                </c:pt>
                <c:pt idx="2">
                  <c:v>1.547</c:v>
                </c:pt>
                <c:pt idx="3">
                  <c:v>1.473</c:v>
                </c:pt>
                <c:pt idx="4">
                  <c:v>1.396</c:v>
                </c:pt>
                <c:pt idx="5">
                  <c:v>1.317</c:v>
                </c:pt>
                <c:pt idx="6">
                  <c:v>1.235</c:v>
                </c:pt>
                <c:pt idx="7">
                  <c:v>1.153</c:v>
                </c:pt>
                <c:pt idx="8">
                  <c:v>1.071</c:v>
                </c:pt>
                <c:pt idx="9">
                  <c:v>0.992</c:v>
                </c:pt>
                <c:pt idx="10">
                  <c:v>0.917</c:v>
                </c:pt>
                <c:pt idx="11">
                  <c:v>0.848</c:v>
                </c:pt>
                <c:pt idx="12">
                  <c:v>0.783</c:v>
                </c:pt>
              </c:numCache>
            </c:numRef>
          </c:yVal>
          <c:smooth val="0"/>
        </c:ser>
        <c:ser>
          <c:idx val="6"/>
          <c:order val="6"/>
          <c:tx>
            <c:strRef>
              <c:f>'experiment 2'!$I$26</c:f>
              <c:strCache>
                <c:ptCount val="1"/>
                <c:pt idx="0">
                  <c:v>T7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cap="rnd">
                <a:solidFill>
                  <a:schemeClr val="accent1">
                    <a:lumMod val="60000"/>
                  </a:schemeClr>
                </a:solidFill>
                <a:round/>
              </a:ln>
              <a:effectLst>
                <a:outerShdw blurRad="57150" dist="19050" dir="5400000" algn="ctr" rotWithShape="0">
                  <a:srgbClr val="000000">
                    <a:alpha val="63000"/>
                  </a:srgbClr>
                </a:outerShdw>
              </a:effectLst>
            </c:spPr>
          </c:marker>
          <c:trendline>
            <c:spPr>
              <a:ln w="19050" cap="rnd">
                <a:solidFill>
                  <a:schemeClr val="accent1">
                    <a:lumMod val="60000"/>
                  </a:schemeClr>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2'!$I$27:$I$39</c:f>
              <c:numCache>
                <c:formatCode>General</c:formatCode>
                <c:ptCount val="13"/>
                <c:pt idx="0">
                  <c:v>1.693</c:v>
                </c:pt>
                <c:pt idx="1">
                  <c:v>1.601</c:v>
                </c:pt>
                <c:pt idx="2">
                  <c:v>1.533</c:v>
                </c:pt>
                <c:pt idx="3">
                  <c:v>1.459</c:v>
                </c:pt>
                <c:pt idx="4">
                  <c:v>1.391</c:v>
                </c:pt>
                <c:pt idx="5">
                  <c:v>1.316</c:v>
                </c:pt>
                <c:pt idx="6">
                  <c:v>1.24</c:v>
                </c:pt>
                <c:pt idx="7">
                  <c:v>1.167</c:v>
                </c:pt>
                <c:pt idx="8">
                  <c:v>1.093</c:v>
                </c:pt>
                <c:pt idx="9">
                  <c:v>1.015</c:v>
                </c:pt>
                <c:pt idx="10">
                  <c:v>0.936</c:v>
                </c:pt>
                <c:pt idx="11">
                  <c:v>0.865</c:v>
                </c:pt>
                <c:pt idx="12">
                  <c:v>0.797</c:v>
                </c:pt>
              </c:numCache>
            </c:numRef>
          </c:yVal>
          <c:smooth val="0"/>
        </c:ser>
        <c:dLbls>
          <c:showLegendKey val="0"/>
          <c:showVal val="0"/>
          <c:showCatName val="0"/>
          <c:showSerName val="0"/>
          <c:showPercent val="0"/>
          <c:showBubbleSize val="0"/>
        </c:dLbls>
        <c:axId val="482553224"/>
        <c:axId val="482547320"/>
      </c:scatterChart>
      <c:valAx>
        <c:axId val="482553224"/>
        <c:scaling>
          <c:orientation val="minMax"/>
        </c:scaling>
        <c:delete val="0"/>
        <c:axPos val="b"/>
        <c:majorGridlines>
          <c:spPr>
            <a:ln w="9525">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time (SECONDS)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82547320"/>
        <c:crosses val="autoZero"/>
        <c:crossBetween val="midCat"/>
      </c:valAx>
      <c:valAx>
        <c:axId val="482547320"/>
        <c:scaling>
          <c:orientation val="minMax"/>
        </c:scaling>
        <c:delete val="0"/>
        <c:axPos val="l"/>
        <c:majorGridlines>
          <c:spPr>
            <a:ln w="9525">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absorbance</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8255322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a:noFill/>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a:solidFill>
          <a:schemeClr val="lt1">
            <a:lumMod val="50000"/>
          </a:schemeClr>
        </a:solidFill>
      </a:ln>
    </cs:spPr>
    <cs:defRPr sz="900" kern="1200"/>
  </cs:categoryAxis>
  <cs:chartArea>
    <cs:lnRef idx="0"/>
    <cs:fillRef idx="0"/>
    <cs:effectRef idx="0"/>
    <cs:fontRef idx="minor">
      <a:schemeClr val="dk1"/>
    </cs:fontRef>
    <cs:spPr>
      <a:gradFill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a:solidFill>
          <a:schemeClr val="lt1">
            <a:lumMod val="50000"/>
          </a:schemeClr>
        </a:solidFill>
      </a:ln>
    </cs:spPr>
    <cs:defRPr sz="900" kern="1200"/>
  </cs:seriesAxis>
  <cs:seriesLine>
    <cs:lnRef idx="0"/>
    <cs:fillRef idx="0"/>
    <cs:effectRef idx="0"/>
    <cs:fontRef idx="minor">
      <a:schemeClr val="lt1"/>
    </cs:fontRef>
    <cs:spPr>
      <a:ln w="9525">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a:solidFill>
          <a:schemeClr val="lt1">
            <a:lumMod val="50000"/>
          </a:schemeClr>
        </a:solidFill>
      </a:ln>
    </cs:spPr>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a:solidFill>
          <a:schemeClr val="lt1">
            <a:lumMod val="50000"/>
          </a:schemeClr>
        </a:solidFill>
      </a:ln>
    </cs:spPr>
    <cs:defRPr sz="900" kern="1200"/>
  </cs:categoryAxis>
  <cs:chartArea>
    <cs:lnRef idx="0"/>
    <cs:fillRef idx="0"/>
    <cs:effectRef idx="0"/>
    <cs:fontRef idx="minor">
      <a:schemeClr val="dk1"/>
    </cs:fontRef>
    <cs:spPr>
      <a:gradFill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a:solidFill>
          <a:schemeClr val="lt1">
            <a:lumMod val="50000"/>
          </a:schemeClr>
        </a:solidFill>
      </a:ln>
    </cs:spPr>
    <cs:defRPr sz="900" kern="1200"/>
  </cs:seriesAxis>
  <cs:seriesLine>
    <cs:lnRef idx="0"/>
    <cs:fillRef idx="0"/>
    <cs:effectRef idx="0"/>
    <cs:fontRef idx="minor">
      <a:schemeClr val="lt1"/>
    </cs:fontRef>
    <cs:spPr>
      <a:ln w="9525">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a:solidFill>
          <a:schemeClr val="lt1">
            <a:lumMod val="50000"/>
          </a:schemeClr>
        </a:solidFill>
      </a:ln>
    </cs:spPr>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75C6BBC8-4ED7-473A-9C8E-E261C3305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Words>2042</Words>
  <Pages>11</Pages>
  <Characters>10559</Characters>
  <Application>WPS Office</Application>
  <DocSecurity>0</DocSecurity>
  <Paragraphs>929</Paragraphs>
  <ScaleCrop>false</ScaleCrop>
  <LinksUpToDate>false</LinksUpToDate>
  <CharactersWithSpaces>11796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2021-10-01T18:04:00Z</dcterms:created>
  <dc:creator>Windows User</dc:creator>
  <lastModifiedBy>Infinix X650D</lastModifiedBy>
  <dcterms:modified xsi:type="dcterms:W3CDTF">2021-10-04T13:48:17Z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fafac88ded624bc5b88ccc2f3676e340</vt:lpwstr>
  </property>
</Properties>
</file>